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139" w:rsidRPr="00025139" w:rsidRDefault="00025139" w:rsidP="00025139">
      <w:pPr>
        <w:jc w:val="center"/>
        <w:rPr>
          <w:rFonts w:ascii="楷体" w:eastAsia="楷体" w:hAnsi="楷体"/>
          <w:sz w:val="36"/>
          <w:szCs w:val="36"/>
        </w:rPr>
      </w:pPr>
      <w:r w:rsidRPr="00025139">
        <w:rPr>
          <w:rFonts w:ascii="楷体" w:eastAsia="楷体" w:hAnsi="楷体" w:hint="eastAsia"/>
          <w:sz w:val="36"/>
          <w:szCs w:val="36"/>
        </w:rPr>
        <w:t>数学与信息科学学院</w:t>
      </w:r>
    </w:p>
    <w:tbl>
      <w:tblPr>
        <w:tblW w:w="5000" w:type="pct"/>
        <w:tblCellSpacing w:w="0" w:type="dxa"/>
        <w:tblCellMar>
          <w:left w:w="0" w:type="dxa"/>
          <w:right w:w="0" w:type="dxa"/>
        </w:tblCellMar>
        <w:tblLook w:val="04A0"/>
      </w:tblPr>
      <w:tblGrid>
        <w:gridCol w:w="8306"/>
      </w:tblGrid>
      <w:tr w:rsidR="009B7665" w:rsidRPr="003836C4" w:rsidTr="00F67FD5">
        <w:trPr>
          <w:trHeight w:val="450"/>
          <w:tblCellSpacing w:w="0" w:type="dxa"/>
        </w:trPr>
        <w:tc>
          <w:tcPr>
            <w:tcW w:w="0" w:type="auto"/>
            <w:vAlign w:val="center"/>
            <w:hideMark/>
          </w:tcPr>
          <w:p w:rsidR="002942B0" w:rsidRPr="00AB659D" w:rsidRDefault="009B7665" w:rsidP="002942B0">
            <w:pPr>
              <w:widowControl/>
              <w:spacing w:after="120"/>
              <w:jc w:val="center"/>
              <w:rPr>
                <w:rFonts w:ascii="华文楷体" w:eastAsia="华文楷体" w:hAnsi="华文楷体" w:cs="宋体"/>
                <w:b/>
                <w:bCs/>
                <w:kern w:val="0"/>
                <w:sz w:val="48"/>
                <w:szCs w:val="48"/>
              </w:rPr>
            </w:pPr>
            <w:r w:rsidRPr="00AB659D">
              <w:rPr>
                <w:rFonts w:ascii="华文楷体" w:eastAsia="华文楷体" w:hAnsi="华文楷体" w:cs="宋体"/>
                <w:b/>
                <w:bCs/>
                <w:kern w:val="0"/>
                <w:sz w:val="48"/>
                <w:szCs w:val="48"/>
              </w:rPr>
              <w:t>硕士研究生和导师双向选择办法</w:t>
            </w:r>
          </w:p>
        </w:tc>
      </w:tr>
      <w:tr w:rsidR="009B7665" w:rsidRPr="003836C4" w:rsidTr="00F67FD5">
        <w:trPr>
          <w:tblCellSpacing w:w="0" w:type="dxa"/>
        </w:trPr>
        <w:tc>
          <w:tcPr>
            <w:tcW w:w="0" w:type="auto"/>
            <w:vAlign w:val="center"/>
            <w:hideMark/>
          </w:tcPr>
          <w:p w:rsidR="009B7665" w:rsidRPr="003836C4" w:rsidRDefault="009B7665" w:rsidP="00F67FD5">
            <w:pPr>
              <w:widowControl/>
              <w:spacing w:after="120"/>
              <w:jc w:val="center"/>
              <w:rPr>
                <w:rFonts w:ascii="宋体" w:eastAsia="宋体" w:hAnsi="宋体" w:cs="宋体"/>
                <w:color w:val="990000"/>
                <w:kern w:val="0"/>
                <w:sz w:val="18"/>
                <w:szCs w:val="18"/>
              </w:rPr>
            </w:pPr>
          </w:p>
        </w:tc>
      </w:tr>
    </w:tbl>
    <w:p w:rsidR="009B7665" w:rsidRPr="003836C4" w:rsidRDefault="009B7665" w:rsidP="009B7665">
      <w:pPr>
        <w:widowControl/>
        <w:spacing w:line="300" w:lineRule="atLeast"/>
        <w:jc w:val="left"/>
        <w:rPr>
          <w:rFonts w:ascii="宋体" w:eastAsia="宋体" w:hAnsi="宋体" w:cs="宋体"/>
          <w:vanish/>
          <w:color w:val="333333"/>
          <w:kern w:val="0"/>
          <w:sz w:val="24"/>
          <w:szCs w:val="24"/>
        </w:rPr>
      </w:pPr>
    </w:p>
    <w:tbl>
      <w:tblPr>
        <w:tblW w:w="5000" w:type="pct"/>
        <w:tblCellSpacing w:w="0" w:type="dxa"/>
        <w:tblBorders>
          <w:bottom w:val="single" w:sz="6" w:space="0" w:color="CCCCCC"/>
        </w:tblBorders>
        <w:tblCellMar>
          <w:left w:w="0" w:type="dxa"/>
          <w:right w:w="0" w:type="dxa"/>
        </w:tblCellMar>
        <w:tblLook w:val="04A0"/>
      </w:tblPr>
      <w:tblGrid>
        <w:gridCol w:w="8306"/>
      </w:tblGrid>
      <w:tr w:rsidR="009B7665" w:rsidRPr="003836C4" w:rsidTr="00F67FD5">
        <w:trPr>
          <w:tblCellSpacing w:w="0" w:type="dxa"/>
        </w:trPr>
        <w:tc>
          <w:tcPr>
            <w:tcW w:w="0" w:type="auto"/>
            <w:vAlign w:val="center"/>
            <w:hideMark/>
          </w:tcPr>
          <w:p w:rsidR="009B7665" w:rsidRPr="009E6BDA" w:rsidRDefault="009B7665" w:rsidP="00025139">
            <w:pPr>
              <w:widowControl/>
              <w:spacing w:after="120"/>
              <w:rPr>
                <w:rFonts w:ascii="宋体" w:eastAsia="宋体" w:hAnsi="宋体" w:cs="宋体"/>
                <w:b/>
                <w:color w:val="FF0000"/>
                <w:kern w:val="0"/>
                <w:sz w:val="24"/>
                <w:szCs w:val="24"/>
              </w:rPr>
            </w:pPr>
          </w:p>
        </w:tc>
      </w:tr>
    </w:tbl>
    <w:p w:rsidR="009B7665" w:rsidRPr="003836C4" w:rsidRDefault="009B7665" w:rsidP="009B7665">
      <w:pPr>
        <w:widowControl/>
        <w:spacing w:line="300" w:lineRule="atLeast"/>
        <w:jc w:val="left"/>
        <w:rPr>
          <w:rFonts w:ascii="宋体" w:eastAsia="宋体" w:hAnsi="宋体" w:cs="宋体"/>
          <w:vanish/>
          <w:color w:val="333333"/>
          <w:kern w:val="0"/>
          <w:sz w:val="24"/>
          <w:szCs w:val="24"/>
        </w:rPr>
      </w:pPr>
    </w:p>
    <w:tbl>
      <w:tblPr>
        <w:tblW w:w="5000" w:type="pct"/>
        <w:tblCellSpacing w:w="0" w:type="dxa"/>
        <w:tblCellMar>
          <w:left w:w="0" w:type="dxa"/>
          <w:right w:w="0" w:type="dxa"/>
        </w:tblCellMar>
        <w:tblLook w:val="04A0"/>
      </w:tblPr>
      <w:tblGrid>
        <w:gridCol w:w="8306"/>
      </w:tblGrid>
      <w:tr w:rsidR="009B7665" w:rsidRPr="003836C4" w:rsidTr="00F67FD5">
        <w:trPr>
          <w:tblCellSpacing w:w="0" w:type="dxa"/>
        </w:trPr>
        <w:tc>
          <w:tcPr>
            <w:tcW w:w="0" w:type="auto"/>
            <w:vAlign w:val="center"/>
            <w:hideMark/>
          </w:tcPr>
          <w:p w:rsidR="009B7665" w:rsidRPr="003836C4" w:rsidRDefault="00F35290" w:rsidP="00AB659D">
            <w:pPr>
              <w:widowControl/>
              <w:spacing w:line="440" w:lineRule="exact"/>
              <w:ind w:firstLineChars="200" w:firstLine="480"/>
              <w:jc w:val="left"/>
              <w:rPr>
                <w:rFonts w:ascii="宋体" w:eastAsia="宋体" w:hAnsi="宋体" w:cs="宋体"/>
                <w:color w:val="000000"/>
                <w:kern w:val="0"/>
                <w:sz w:val="23"/>
                <w:szCs w:val="23"/>
              </w:rPr>
            </w:pPr>
            <w:r>
              <w:rPr>
                <w:rFonts w:ascii="Times New Roman" w:eastAsia="宋体" w:hAnsi="Times New Roman" w:cs="Times New Roman" w:hint="eastAsia"/>
                <w:color w:val="000000"/>
                <w:kern w:val="0"/>
                <w:sz w:val="24"/>
                <w:szCs w:val="24"/>
              </w:rPr>
              <w:t>随着招生指标趋于稳定而导师队伍不断发展壮大和学院人才培养质量提高的迫切需要，</w:t>
            </w:r>
            <w:r w:rsidR="009B7665" w:rsidRPr="003836C4">
              <w:rPr>
                <w:rFonts w:ascii="Times New Roman" w:eastAsia="宋体" w:hAnsi="Times New Roman" w:cs="宋体" w:hint="eastAsia"/>
                <w:color w:val="000000"/>
                <w:kern w:val="0"/>
                <w:sz w:val="24"/>
                <w:szCs w:val="24"/>
              </w:rPr>
              <w:t>为进一步规范学院硕士研究生（以下简称研究生）</w:t>
            </w:r>
            <w:r w:rsidR="00CD31F7">
              <w:rPr>
                <w:rFonts w:ascii="Times New Roman" w:eastAsia="宋体" w:hAnsi="Times New Roman" w:cs="宋体" w:hint="eastAsia"/>
                <w:color w:val="000000"/>
                <w:kern w:val="0"/>
                <w:sz w:val="24"/>
                <w:szCs w:val="24"/>
              </w:rPr>
              <w:t>课程</w:t>
            </w:r>
            <w:r w:rsidR="009B7665" w:rsidRPr="003836C4">
              <w:rPr>
                <w:rFonts w:ascii="Times New Roman" w:eastAsia="宋体" w:hAnsi="Times New Roman" w:cs="宋体" w:hint="eastAsia"/>
                <w:color w:val="000000"/>
                <w:kern w:val="0"/>
                <w:sz w:val="24"/>
                <w:szCs w:val="24"/>
              </w:rPr>
              <w:t>管理</w:t>
            </w:r>
            <w:r w:rsidR="00A40EAC">
              <w:rPr>
                <w:rFonts w:ascii="Times New Roman" w:eastAsia="宋体" w:hAnsi="Times New Roman" w:cs="宋体" w:hint="eastAsia"/>
                <w:color w:val="000000"/>
                <w:kern w:val="0"/>
                <w:sz w:val="24"/>
                <w:szCs w:val="24"/>
              </w:rPr>
              <w:t>和</w:t>
            </w:r>
            <w:r w:rsidR="00E13477">
              <w:rPr>
                <w:rFonts w:ascii="Times New Roman" w:eastAsia="宋体" w:hAnsi="Times New Roman" w:cs="宋体" w:hint="eastAsia"/>
                <w:color w:val="000000"/>
                <w:kern w:val="0"/>
                <w:sz w:val="24"/>
                <w:szCs w:val="24"/>
              </w:rPr>
              <w:t>完善研究生培养计划及课程设置</w:t>
            </w:r>
            <w:r w:rsidR="00A40EAC">
              <w:rPr>
                <w:rFonts w:ascii="Times New Roman" w:eastAsia="宋体" w:hAnsi="Times New Roman" w:cs="宋体" w:hint="eastAsia"/>
                <w:color w:val="000000"/>
                <w:kern w:val="0"/>
                <w:sz w:val="24"/>
                <w:szCs w:val="24"/>
              </w:rPr>
              <w:t>，</w:t>
            </w:r>
            <w:r w:rsidR="00A40EAC" w:rsidRPr="003836C4">
              <w:rPr>
                <w:rFonts w:ascii="Times New Roman" w:eastAsia="宋体" w:hAnsi="Times New Roman" w:cs="宋体" w:hint="eastAsia"/>
                <w:color w:val="000000"/>
                <w:kern w:val="0"/>
                <w:sz w:val="24"/>
                <w:szCs w:val="24"/>
              </w:rPr>
              <w:t>提高</w:t>
            </w:r>
            <w:r w:rsidR="00A40EAC">
              <w:rPr>
                <w:rFonts w:ascii="Times New Roman" w:eastAsia="宋体" w:hAnsi="Times New Roman" w:cs="宋体" w:hint="eastAsia"/>
                <w:color w:val="000000"/>
                <w:kern w:val="0"/>
                <w:sz w:val="24"/>
                <w:szCs w:val="24"/>
              </w:rPr>
              <w:t>优秀生源和</w:t>
            </w:r>
            <w:r w:rsidR="009B7665" w:rsidRPr="003836C4">
              <w:rPr>
                <w:rFonts w:ascii="Times New Roman" w:eastAsia="宋体" w:hAnsi="Times New Roman" w:cs="宋体" w:hint="eastAsia"/>
                <w:color w:val="000000"/>
                <w:kern w:val="0"/>
                <w:sz w:val="24"/>
                <w:szCs w:val="24"/>
              </w:rPr>
              <w:t>研究生的培养质量，加强硕士研究生导师（以下简称导师）指导研究生的责任感和荣誉感，经</w:t>
            </w:r>
            <w:r>
              <w:rPr>
                <w:rFonts w:ascii="Times New Roman" w:eastAsia="宋体" w:hAnsi="Times New Roman" w:cs="宋体" w:hint="eastAsia"/>
                <w:color w:val="000000"/>
                <w:kern w:val="0"/>
                <w:sz w:val="24"/>
                <w:szCs w:val="24"/>
              </w:rPr>
              <w:t>院学术委员会</w:t>
            </w:r>
            <w:r w:rsidR="009B7665" w:rsidRPr="003836C4">
              <w:rPr>
                <w:rFonts w:ascii="Times New Roman" w:eastAsia="宋体" w:hAnsi="Times New Roman" w:cs="宋体" w:hint="eastAsia"/>
                <w:color w:val="000000"/>
                <w:kern w:val="0"/>
                <w:sz w:val="24"/>
                <w:szCs w:val="24"/>
              </w:rPr>
              <w:t>研究决定，制定</w:t>
            </w:r>
            <w:r w:rsidR="003F174C">
              <w:rPr>
                <w:rFonts w:ascii="Times New Roman" w:eastAsia="宋体" w:hAnsi="Times New Roman" w:cs="宋体" w:hint="eastAsia"/>
                <w:color w:val="000000"/>
                <w:kern w:val="0"/>
                <w:sz w:val="24"/>
                <w:szCs w:val="24"/>
              </w:rPr>
              <w:t>我院</w:t>
            </w:r>
            <w:r w:rsidR="009B7665" w:rsidRPr="003836C4">
              <w:rPr>
                <w:rFonts w:ascii="Times New Roman" w:eastAsia="宋体" w:hAnsi="Times New Roman" w:cs="宋体" w:hint="eastAsia"/>
                <w:color w:val="000000"/>
                <w:kern w:val="0"/>
                <w:sz w:val="24"/>
                <w:szCs w:val="24"/>
              </w:rPr>
              <w:t>研究生和导师双向选择办法。</w:t>
            </w:r>
          </w:p>
          <w:p w:rsidR="00F35290" w:rsidRPr="00F35290" w:rsidRDefault="00F35290" w:rsidP="00F35290">
            <w:pPr>
              <w:widowControl/>
              <w:spacing w:line="440" w:lineRule="exact"/>
              <w:ind w:firstLineChars="200" w:firstLine="561"/>
              <w:jc w:val="left"/>
              <w:rPr>
                <w:rFonts w:ascii="Times New Roman" w:eastAsia="宋体" w:hAnsi="Times New Roman" w:cs="宋体"/>
                <w:color w:val="000000"/>
                <w:kern w:val="0"/>
                <w:sz w:val="24"/>
                <w:szCs w:val="24"/>
              </w:rPr>
            </w:pPr>
            <w:r w:rsidRPr="00F35290">
              <w:rPr>
                <w:rFonts w:ascii="华文楷体" w:eastAsia="华文楷体" w:hAnsi="华文楷体" w:cs="宋体" w:hint="eastAsia"/>
                <w:b/>
                <w:color w:val="000000"/>
                <w:kern w:val="0"/>
                <w:sz w:val="28"/>
                <w:szCs w:val="28"/>
              </w:rPr>
              <w:t>第</w:t>
            </w:r>
            <w:r>
              <w:rPr>
                <w:rFonts w:ascii="华文楷体" w:eastAsia="华文楷体" w:hAnsi="华文楷体" w:cs="宋体" w:hint="eastAsia"/>
                <w:b/>
                <w:color w:val="000000"/>
                <w:kern w:val="0"/>
                <w:sz w:val="28"/>
                <w:szCs w:val="28"/>
              </w:rPr>
              <w:t>一</w:t>
            </w:r>
            <w:r w:rsidRPr="00F35290">
              <w:rPr>
                <w:rFonts w:ascii="华文楷体" w:eastAsia="华文楷体" w:hAnsi="华文楷体" w:cs="宋体" w:hint="eastAsia"/>
                <w:b/>
                <w:color w:val="000000"/>
                <w:kern w:val="0"/>
                <w:sz w:val="28"/>
                <w:szCs w:val="28"/>
              </w:rPr>
              <w:t>条</w:t>
            </w:r>
            <w:r w:rsidRPr="00F35290">
              <w:rPr>
                <w:rFonts w:ascii="华文楷体" w:eastAsia="华文楷体" w:hAnsi="华文楷体" w:cs="宋体"/>
                <w:b/>
                <w:color w:val="000000"/>
                <w:kern w:val="0"/>
                <w:sz w:val="28"/>
                <w:szCs w:val="28"/>
              </w:rPr>
              <w:t xml:space="preserve"> </w:t>
            </w:r>
            <w:r w:rsidRPr="00F35290">
              <w:rPr>
                <w:rFonts w:ascii="Times New Roman" w:eastAsia="宋体" w:hAnsi="Times New Roman" w:cs="宋体" w:hint="eastAsia"/>
                <w:color w:val="000000"/>
                <w:kern w:val="0"/>
                <w:sz w:val="24"/>
                <w:szCs w:val="24"/>
              </w:rPr>
              <w:t xml:space="preserve"> </w:t>
            </w:r>
            <w:r w:rsidR="009B7665" w:rsidRPr="00F35290">
              <w:rPr>
                <w:rFonts w:ascii="Times New Roman" w:eastAsia="宋体" w:hAnsi="Times New Roman" w:cs="宋体" w:hint="eastAsia"/>
                <w:color w:val="000000"/>
                <w:kern w:val="0"/>
                <w:sz w:val="24"/>
                <w:szCs w:val="24"/>
              </w:rPr>
              <w:t>参与双向选择的导师</w:t>
            </w:r>
            <w:r w:rsidR="00944729">
              <w:rPr>
                <w:rFonts w:ascii="Times New Roman" w:eastAsia="宋体" w:hAnsi="Times New Roman" w:cs="宋体" w:hint="eastAsia"/>
                <w:color w:val="000000"/>
                <w:kern w:val="0"/>
                <w:sz w:val="24"/>
                <w:szCs w:val="24"/>
              </w:rPr>
              <w:t>应符合学校当年研究生导师上岗条件并在列学校当年研究生招生简章</w:t>
            </w:r>
            <w:r w:rsidR="009B7665" w:rsidRPr="00F35290">
              <w:rPr>
                <w:rFonts w:ascii="Times New Roman" w:eastAsia="宋体" w:hAnsi="Times New Roman" w:cs="宋体" w:hint="eastAsia"/>
                <w:color w:val="000000"/>
                <w:kern w:val="0"/>
                <w:sz w:val="24"/>
                <w:szCs w:val="24"/>
              </w:rPr>
              <w:t>。</w:t>
            </w:r>
          </w:p>
          <w:p w:rsidR="009B7665" w:rsidRPr="003836C4" w:rsidRDefault="009B7665" w:rsidP="00AB659D">
            <w:pPr>
              <w:widowControl/>
              <w:spacing w:line="440" w:lineRule="exact"/>
              <w:ind w:firstLineChars="200" w:firstLine="561"/>
              <w:jc w:val="left"/>
              <w:rPr>
                <w:rFonts w:ascii="宋体" w:eastAsia="宋体" w:hAnsi="宋体" w:cs="宋体"/>
                <w:color w:val="000000"/>
                <w:kern w:val="0"/>
                <w:sz w:val="23"/>
                <w:szCs w:val="23"/>
              </w:rPr>
            </w:pPr>
            <w:r w:rsidRPr="00AC0774">
              <w:rPr>
                <w:rFonts w:ascii="华文楷体" w:eastAsia="华文楷体" w:hAnsi="华文楷体" w:cs="宋体" w:hint="eastAsia"/>
                <w:b/>
                <w:color w:val="000000"/>
                <w:kern w:val="0"/>
                <w:sz w:val="28"/>
                <w:szCs w:val="28"/>
              </w:rPr>
              <w:t>第</w:t>
            </w:r>
            <w:r w:rsidR="004668F3">
              <w:rPr>
                <w:rFonts w:ascii="华文楷体" w:eastAsia="华文楷体" w:hAnsi="华文楷体" w:cs="宋体" w:hint="eastAsia"/>
                <w:b/>
                <w:color w:val="000000"/>
                <w:kern w:val="0"/>
                <w:sz w:val="28"/>
                <w:szCs w:val="28"/>
              </w:rPr>
              <w:t>二</w:t>
            </w:r>
            <w:r w:rsidR="00C1307A">
              <w:rPr>
                <w:rFonts w:ascii="华文楷体" w:eastAsia="华文楷体" w:hAnsi="华文楷体" w:cs="宋体" w:hint="eastAsia"/>
                <w:b/>
                <w:color w:val="000000"/>
                <w:kern w:val="0"/>
                <w:sz w:val="28"/>
                <w:szCs w:val="28"/>
              </w:rPr>
              <w:t>条</w:t>
            </w:r>
            <w:r w:rsidRPr="00AC0774">
              <w:rPr>
                <w:rFonts w:ascii="华文楷体" w:eastAsia="华文楷体" w:hAnsi="华文楷体" w:cs="宋体"/>
                <w:b/>
                <w:color w:val="000000"/>
                <w:kern w:val="0"/>
                <w:sz w:val="28"/>
                <w:szCs w:val="28"/>
              </w:rPr>
              <w:t xml:space="preserve">  </w:t>
            </w:r>
            <w:r w:rsidRPr="003836C4">
              <w:rPr>
                <w:rFonts w:ascii="Times New Roman" w:eastAsia="宋体" w:hAnsi="Times New Roman" w:cs="宋体" w:hint="eastAsia"/>
                <w:color w:val="000000"/>
                <w:kern w:val="0"/>
                <w:sz w:val="24"/>
                <w:szCs w:val="24"/>
              </w:rPr>
              <w:t>双向选择在研究生</w:t>
            </w:r>
            <w:r w:rsidR="00944729">
              <w:rPr>
                <w:rFonts w:ascii="Times New Roman" w:eastAsia="宋体" w:hAnsi="Times New Roman" w:cs="宋体" w:hint="eastAsia"/>
                <w:color w:val="000000"/>
                <w:kern w:val="0"/>
                <w:sz w:val="24"/>
                <w:szCs w:val="24"/>
              </w:rPr>
              <w:t>开学典礼的同时</w:t>
            </w:r>
            <w:r w:rsidRPr="003836C4">
              <w:rPr>
                <w:rFonts w:ascii="Times New Roman" w:eastAsia="宋体" w:hAnsi="Times New Roman" w:cs="宋体" w:hint="eastAsia"/>
                <w:color w:val="000000"/>
                <w:kern w:val="0"/>
                <w:sz w:val="24"/>
                <w:szCs w:val="24"/>
              </w:rPr>
              <w:t>进行。由学院组织导师</w:t>
            </w:r>
            <w:r w:rsidR="00944729">
              <w:rPr>
                <w:rFonts w:ascii="Times New Roman" w:eastAsia="宋体" w:hAnsi="Times New Roman" w:cs="宋体" w:hint="eastAsia"/>
                <w:color w:val="000000"/>
                <w:kern w:val="0"/>
                <w:sz w:val="24"/>
                <w:szCs w:val="24"/>
              </w:rPr>
              <w:t>与</w:t>
            </w:r>
            <w:r w:rsidRPr="003836C4">
              <w:rPr>
                <w:rFonts w:ascii="Times New Roman" w:eastAsia="宋体" w:hAnsi="Times New Roman" w:cs="宋体" w:hint="eastAsia"/>
                <w:color w:val="000000"/>
                <w:kern w:val="0"/>
                <w:sz w:val="24"/>
                <w:szCs w:val="24"/>
              </w:rPr>
              <w:t>研究生</w:t>
            </w:r>
            <w:r w:rsidR="00944729">
              <w:rPr>
                <w:rFonts w:ascii="Times New Roman" w:eastAsia="宋体" w:hAnsi="Times New Roman" w:cs="宋体" w:hint="eastAsia"/>
                <w:color w:val="000000"/>
                <w:kern w:val="0"/>
                <w:sz w:val="24"/>
                <w:szCs w:val="24"/>
              </w:rPr>
              <w:t>的</w:t>
            </w:r>
            <w:r w:rsidRPr="003836C4">
              <w:rPr>
                <w:rFonts w:ascii="Times New Roman" w:eastAsia="宋体" w:hAnsi="Times New Roman" w:cs="宋体" w:hint="eastAsia"/>
                <w:color w:val="000000"/>
                <w:kern w:val="0"/>
                <w:sz w:val="24"/>
                <w:szCs w:val="24"/>
              </w:rPr>
              <w:t>双选会</w:t>
            </w:r>
            <w:r w:rsidR="00944729">
              <w:rPr>
                <w:rFonts w:ascii="Times New Roman" w:eastAsia="宋体" w:hAnsi="Times New Roman" w:cs="宋体" w:hint="eastAsia"/>
                <w:color w:val="000000"/>
                <w:kern w:val="0"/>
                <w:sz w:val="24"/>
                <w:szCs w:val="24"/>
              </w:rPr>
              <w:t>，按照招生专业</w:t>
            </w:r>
            <w:r w:rsidR="00802822">
              <w:rPr>
                <w:rFonts w:ascii="Times New Roman" w:eastAsia="宋体" w:hAnsi="Times New Roman" w:cs="宋体" w:hint="eastAsia"/>
                <w:color w:val="000000"/>
                <w:kern w:val="0"/>
                <w:sz w:val="24"/>
                <w:szCs w:val="24"/>
              </w:rPr>
              <w:t>分导师组</w:t>
            </w:r>
            <w:r w:rsidR="00EA5AC6">
              <w:rPr>
                <w:rFonts w:ascii="Times New Roman" w:eastAsia="宋体" w:hAnsi="Times New Roman" w:cs="宋体" w:hint="eastAsia"/>
                <w:color w:val="000000"/>
                <w:kern w:val="0"/>
                <w:sz w:val="24"/>
                <w:szCs w:val="24"/>
              </w:rPr>
              <w:t>由</w:t>
            </w:r>
            <w:r w:rsidR="00802822">
              <w:rPr>
                <w:rFonts w:ascii="Times New Roman" w:eastAsia="宋体" w:hAnsi="Times New Roman" w:cs="宋体" w:hint="eastAsia"/>
                <w:color w:val="000000"/>
                <w:kern w:val="0"/>
                <w:sz w:val="24"/>
                <w:szCs w:val="24"/>
              </w:rPr>
              <w:t>招生老师介绍自己的基本情况，在学生充分了解导师的情况下进行双向选择</w:t>
            </w:r>
            <w:r w:rsidRPr="00C1307A">
              <w:rPr>
                <w:rFonts w:ascii="Times New Roman" w:eastAsia="宋体" w:hAnsi="Times New Roman" w:cs="宋体" w:hint="eastAsia"/>
                <w:color w:val="000000" w:themeColor="text1"/>
                <w:kern w:val="0"/>
                <w:sz w:val="24"/>
                <w:szCs w:val="24"/>
              </w:rPr>
              <w:t>。</w:t>
            </w:r>
            <w:r w:rsidRPr="003836C4">
              <w:rPr>
                <w:rFonts w:ascii="Times New Roman" w:eastAsia="宋体" w:hAnsi="Times New Roman" w:cs="宋体" w:hint="eastAsia"/>
                <w:color w:val="000000"/>
                <w:kern w:val="0"/>
                <w:sz w:val="24"/>
                <w:szCs w:val="24"/>
              </w:rPr>
              <w:t>无故不参加双向选择会的导师当年不得招收研究生。</w:t>
            </w:r>
          </w:p>
          <w:p w:rsidR="00C1307A" w:rsidRDefault="009B7665" w:rsidP="00AB659D">
            <w:pPr>
              <w:widowControl/>
              <w:spacing w:line="440" w:lineRule="exact"/>
              <w:ind w:firstLineChars="200" w:firstLine="561"/>
              <w:jc w:val="left"/>
              <w:rPr>
                <w:rFonts w:ascii="Times New Roman" w:eastAsia="宋体" w:hAnsi="Times New Roman" w:cs="宋体"/>
                <w:color w:val="000000"/>
                <w:kern w:val="0"/>
                <w:sz w:val="24"/>
                <w:szCs w:val="24"/>
              </w:rPr>
            </w:pPr>
            <w:r w:rsidRPr="00AC0774">
              <w:rPr>
                <w:rFonts w:ascii="华文楷体" w:eastAsia="华文楷体" w:hAnsi="华文楷体" w:cs="宋体" w:hint="eastAsia"/>
                <w:b/>
                <w:color w:val="000000"/>
                <w:kern w:val="0"/>
                <w:sz w:val="28"/>
                <w:szCs w:val="28"/>
              </w:rPr>
              <w:t>第</w:t>
            </w:r>
            <w:r w:rsidR="004668F3">
              <w:rPr>
                <w:rFonts w:ascii="华文楷体" w:eastAsia="华文楷体" w:hAnsi="华文楷体" w:cs="宋体" w:hint="eastAsia"/>
                <w:b/>
                <w:color w:val="000000"/>
                <w:kern w:val="0"/>
                <w:sz w:val="28"/>
                <w:szCs w:val="28"/>
              </w:rPr>
              <w:t>三</w:t>
            </w:r>
            <w:r w:rsidRPr="00AC0774">
              <w:rPr>
                <w:rFonts w:ascii="华文楷体" w:eastAsia="华文楷体" w:hAnsi="华文楷体" w:cs="宋体" w:hint="eastAsia"/>
                <w:b/>
                <w:color w:val="000000"/>
                <w:kern w:val="0"/>
                <w:sz w:val="28"/>
                <w:szCs w:val="28"/>
              </w:rPr>
              <w:t>条</w:t>
            </w:r>
            <w:r w:rsidRPr="00AC0774">
              <w:rPr>
                <w:rFonts w:ascii="华文楷体" w:eastAsia="华文楷体" w:hAnsi="华文楷体" w:cs="宋体"/>
                <w:b/>
                <w:color w:val="000000"/>
                <w:kern w:val="0"/>
                <w:sz w:val="28"/>
                <w:szCs w:val="28"/>
              </w:rPr>
              <w:t xml:space="preserve">  </w:t>
            </w:r>
            <w:r w:rsidRPr="003836C4">
              <w:rPr>
                <w:rFonts w:ascii="Times New Roman" w:eastAsia="宋体" w:hAnsi="Times New Roman" w:cs="宋体" w:hint="eastAsia"/>
                <w:color w:val="000000"/>
                <w:kern w:val="0"/>
                <w:sz w:val="24"/>
                <w:szCs w:val="24"/>
              </w:rPr>
              <w:t>研究生填写《</w:t>
            </w:r>
            <w:r w:rsidR="00AE6BAB">
              <w:rPr>
                <w:rFonts w:ascii="Times New Roman" w:eastAsia="宋体" w:hAnsi="Times New Roman" w:cs="宋体" w:hint="eastAsia"/>
                <w:color w:val="000000"/>
                <w:kern w:val="0"/>
                <w:sz w:val="24"/>
                <w:szCs w:val="24"/>
              </w:rPr>
              <w:t>陕西师范大学数学与信息科学</w:t>
            </w:r>
            <w:r w:rsidRPr="003836C4">
              <w:rPr>
                <w:rFonts w:ascii="Times New Roman" w:eastAsia="宋体" w:hAnsi="Times New Roman" w:cs="宋体" w:hint="eastAsia"/>
                <w:color w:val="000000"/>
                <w:kern w:val="0"/>
                <w:sz w:val="24"/>
                <w:szCs w:val="24"/>
              </w:rPr>
              <w:t>学院研究生导师双向选择表》（以下简称《双向选择表》）</w:t>
            </w:r>
            <w:r w:rsidR="00802822">
              <w:rPr>
                <w:rFonts w:ascii="Times New Roman" w:eastAsia="宋体" w:hAnsi="Times New Roman" w:cs="宋体" w:hint="eastAsia"/>
                <w:color w:val="000000"/>
                <w:kern w:val="0"/>
                <w:sz w:val="24"/>
                <w:szCs w:val="24"/>
              </w:rPr>
              <w:t>并签名</w:t>
            </w:r>
            <w:r w:rsidRPr="003836C4">
              <w:rPr>
                <w:rFonts w:ascii="Times New Roman" w:eastAsia="宋体" w:hAnsi="Times New Roman" w:cs="宋体" w:hint="eastAsia"/>
                <w:color w:val="000000"/>
                <w:kern w:val="0"/>
                <w:sz w:val="24"/>
                <w:szCs w:val="24"/>
              </w:rPr>
              <w:t>，根据个人的决定在所选栏内填写自己选择的导师。</w:t>
            </w:r>
          </w:p>
          <w:p w:rsidR="009B7665" w:rsidRPr="003836C4" w:rsidRDefault="009B7665" w:rsidP="00C1307A">
            <w:pPr>
              <w:widowControl/>
              <w:spacing w:line="440" w:lineRule="exact"/>
              <w:ind w:firstLineChars="200" w:firstLine="561"/>
              <w:jc w:val="left"/>
              <w:rPr>
                <w:rFonts w:ascii="宋体" w:eastAsia="宋体" w:hAnsi="宋体" w:cs="宋体"/>
                <w:color w:val="000000"/>
                <w:kern w:val="0"/>
                <w:sz w:val="23"/>
                <w:szCs w:val="23"/>
              </w:rPr>
            </w:pPr>
            <w:r w:rsidRPr="00AC0774">
              <w:rPr>
                <w:rFonts w:ascii="华文楷体" w:eastAsia="华文楷体" w:hAnsi="华文楷体" w:cs="宋体" w:hint="eastAsia"/>
                <w:b/>
                <w:color w:val="000000"/>
                <w:kern w:val="0"/>
                <w:sz w:val="28"/>
                <w:szCs w:val="28"/>
              </w:rPr>
              <w:t>第</w:t>
            </w:r>
            <w:r w:rsidR="004668F3">
              <w:rPr>
                <w:rFonts w:ascii="华文楷体" w:eastAsia="华文楷体" w:hAnsi="华文楷体" w:cs="宋体" w:hint="eastAsia"/>
                <w:b/>
                <w:color w:val="000000"/>
                <w:kern w:val="0"/>
                <w:sz w:val="28"/>
                <w:szCs w:val="28"/>
              </w:rPr>
              <w:t>四</w:t>
            </w:r>
            <w:r w:rsidRPr="00AC0774">
              <w:rPr>
                <w:rFonts w:ascii="华文楷体" w:eastAsia="华文楷体" w:hAnsi="华文楷体" w:cs="宋体" w:hint="eastAsia"/>
                <w:b/>
                <w:color w:val="000000"/>
                <w:kern w:val="0"/>
                <w:sz w:val="28"/>
                <w:szCs w:val="28"/>
              </w:rPr>
              <w:t>条</w:t>
            </w:r>
            <w:r w:rsidRPr="00AC0774">
              <w:rPr>
                <w:rFonts w:ascii="华文楷体" w:eastAsia="华文楷体" w:hAnsi="华文楷体" w:cs="宋体"/>
                <w:b/>
                <w:color w:val="000000"/>
                <w:kern w:val="0"/>
                <w:sz w:val="28"/>
                <w:szCs w:val="28"/>
              </w:rPr>
              <w:t xml:space="preserve">  </w:t>
            </w:r>
            <w:r w:rsidRPr="003836C4">
              <w:rPr>
                <w:rFonts w:ascii="Times New Roman" w:eastAsia="宋体" w:hAnsi="Times New Roman" w:cs="宋体" w:hint="eastAsia"/>
                <w:color w:val="000000"/>
                <w:kern w:val="0"/>
                <w:sz w:val="24"/>
                <w:szCs w:val="24"/>
              </w:rPr>
              <w:t>《双向选择表》填好后，统一上交学院。各导师</w:t>
            </w:r>
            <w:r w:rsidR="00C1307A">
              <w:rPr>
                <w:rFonts w:ascii="Times New Roman" w:eastAsia="宋体" w:hAnsi="Times New Roman" w:cs="宋体" w:hint="eastAsia"/>
                <w:color w:val="000000"/>
                <w:kern w:val="0"/>
                <w:sz w:val="24"/>
                <w:szCs w:val="24"/>
              </w:rPr>
              <w:t>同时</w:t>
            </w:r>
            <w:r w:rsidRPr="003836C4">
              <w:rPr>
                <w:rFonts w:ascii="Times New Roman" w:eastAsia="宋体" w:hAnsi="Times New Roman" w:cs="宋体" w:hint="eastAsia"/>
                <w:color w:val="000000"/>
                <w:kern w:val="0"/>
                <w:sz w:val="24"/>
                <w:szCs w:val="24"/>
              </w:rPr>
              <w:t>根据研究生的志愿确定是否同意该生作为自己可以指导的研究生，并在“指导教师意见”栏内签署意见。因工作需要，无法到场的导师可书面委托代理人办理。</w:t>
            </w:r>
          </w:p>
          <w:p w:rsidR="009B7665" w:rsidRPr="003836C4" w:rsidRDefault="009B7665" w:rsidP="00AB659D">
            <w:pPr>
              <w:widowControl/>
              <w:spacing w:line="440" w:lineRule="exact"/>
              <w:ind w:firstLineChars="200" w:firstLine="561"/>
              <w:jc w:val="left"/>
              <w:rPr>
                <w:rFonts w:ascii="宋体" w:eastAsia="宋体" w:hAnsi="宋体" w:cs="宋体"/>
                <w:color w:val="000000"/>
                <w:kern w:val="0"/>
                <w:sz w:val="23"/>
                <w:szCs w:val="23"/>
              </w:rPr>
            </w:pPr>
            <w:r w:rsidRPr="00AC0774">
              <w:rPr>
                <w:rFonts w:ascii="华文楷体" w:eastAsia="华文楷体" w:hAnsi="华文楷体" w:cs="宋体" w:hint="eastAsia"/>
                <w:b/>
                <w:color w:val="000000"/>
                <w:kern w:val="0"/>
                <w:sz w:val="28"/>
                <w:szCs w:val="28"/>
              </w:rPr>
              <w:t>第</w:t>
            </w:r>
            <w:r w:rsidR="004668F3">
              <w:rPr>
                <w:rFonts w:ascii="华文楷体" w:eastAsia="华文楷体" w:hAnsi="华文楷体" w:cs="宋体" w:hint="eastAsia"/>
                <w:b/>
                <w:color w:val="000000"/>
                <w:kern w:val="0"/>
                <w:sz w:val="28"/>
                <w:szCs w:val="28"/>
              </w:rPr>
              <w:t>五</w:t>
            </w:r>
            <w:r w:rsidRPr="00AC0774">
              <w:rPr>
                <w:rFonts w:ascii="华文楷体" w:eastAsia="华文楷体" w:hAnsi="华文楷体" w:cs="宋体" w:hint="eastAsia"/>
                <w:b/>
                <w:color w:val="000000"/>
                <w:kern w:val="0"/>
                <w:sz w:val="28"/>
                <w:szCs w:val="28"/>
              </w:rPr>
              <w:t>条</w:t>
            </w:r>
            <w:r w:rsidRPr="00AC0774">
              <w:rPr>
                <w:rFonts w:ascii="华文楷体" w:eastAsia="华文楷体" w:hAnsi="华文楷体" w:cs="宋体"/>
                <w:b/>
                <w:color w:val="000000"/>
                <w:kern w:val="0"/>
                <w:sz w:val="28"/>
                <w:szCs w:val="28"/>
              </w:rPr>
              <w:t xml:space="preserve">  </w:t>
            </w:r>
            <w:r w:rsidRPr="003836C4">
              <w:rPr>
                <w:rFonts w:ascii="Times New Roman" w:eastAsia="宋体" w:hAnsi="Times New Roman" w:cs="宋体" w:hint="eastAsia"/>
                <w:color w:val="000000"/>
                <w:kern w:val="0"/>
                <w:sz w:val="24"/>
                <w:szCs w:val="24"/>
              </w:rPr>
              <w:t>导师签署意见后，经</w:t>
            </w:r>
            <w:r w:rsidR="00AE6BAB">
              <w:rPr>
                <w:rFonts w:ascii="Times New Roman" w:eastAsia="宋体" w:hAnsi="Times New Roman" w:cs="宋体" w:hint="eastAsia"/>
                <w:color w:val="000000"/>
                <w:kern w:val="0"/>
                <w:sz w:val="24"/>
                <w:szCs w:val="24"/>
              </w:rPr>
              <w:t>导师组</w:t>
            </w:r>
            <w:r w:rsidRPr="003836C4">
              <w:rPr>
                <w:rFonts w:ascii="Times New Roman" w:eastAsia="宋体" w:hAnsi="Times New Roman" w:cs="宋体" w:hint="eastAsia"/>
                <w:color w:val="000000"/>
                <w:kern w:val="0"/>
                <w:sz w:val="24"/>
                <w:szCs w:val="24"/>
              </w:rPr>
              <w:t>建设负责人同意，将《双向选择表》提交院分管领导审核、备案。</w:t>
            </w:r>
          </w:p>
          <w:p w:rsidR="009B7665" w:rsidRPr="003836C4" w:rsidRDefault="009B7665" w:rsidP="00AB659D">
            <w:pPr>
              <w:widowControl/>
              <w:spacing w:line="440" w:lineRule="exact"/>
              <w:ind w:firstLineChars="200" w:firstLine="561"/>
              <w:jc w:val="left"/>
              <w:rPr>
                <w:rFonts w:ascii="宋体" w:eastAsia="宋体" w:hAnsi="宋体" w:cs="宋体"/>
                <w:color w:val="000000"/>
                <w:kern w:val="0"/>
                <w:sz w:val="23"/>
                <w:szCs w:val="23"/>
              </w:rPr>
            </w:pPr>
            <w:r w:rsidRPr="00AC0774">
              <w:rPr>
                <w:rFonts w:ascii="华文楷体" w:eastAsia="华文楷体" w:hAnsi="华文楷体" w:cs="宋体" w:hint="eastAsia"/>
                <w:b/>
                <w:color w:val="000000"/>
                <w:kern w:val="0"/>
                <w:sz w:val="28"/>
                <w:szCs w:val="28"/>
              </w:rPr>
              <w:t>第</w:t>
            </w:r>
            <w:r w:rsidR="004668F3">
              <w:rPr>
                <w:rFonts w:ascii="华文楷体" w:eastAsia="华文楷体" w:hAnsi="华文楷体" w:cs="宋体" w:hint="eastAsia"/>
                <w:b/>
                <w:color w:val="000000"/>
                <w:kern w:val="0"/>
                <w:sz w:val="28"/>
                <w:szCs w:val="28"/>
              </w:rPr>
              <w:t>六</w:t>
            </w:r>
            <w:r w:rsidRPr="00AC0774">
              <w:rPr>
                <w:rFonts w:ascii="华文楷体" w:eastAsia="华文楷体" w:hAnsi="华文楷体" w:cs="宋体" w:hint="eastAsia"/>
                <w:b/>
                <w:color w:val="000000"/>
                <w:kern w:val="0"/>
                <w:sz w:val="28"/>
                <w:szCs w:val="28"/>
              </w:rPr>
              <w:t>条</w:t>
            </w:r>
            <w:r w:rsidRPr="00AC0774">
              <w:rPr>
                <w:rFonts w:ascii="华文楷体" w:eastAsia="华文楷体" w:hAnsi="华文楷体" w:cs="宋体"/>
                <w:b/>
                <w:color w:val="000000"/>
                <w:kern w:val="0"/>
                <w:sz w:val="28"/>
                <w:szCs w:val="28"/>
              </w:rPr>
              <w:t xml:space="preserve"> </w:t>
            </w:r>
            <w:r w:rsidR="00802822">
              <w:rPr>
                <w:rFonts w:ascii="Times New Roman" w:eastAsia="宋体" w:hAnsi="Times New Roman" w:cs="宋体" w:hint="eastAsia"/>
                <w:color w:val="000000"/>
                <w:kern w:val="0"/>
                <w:sz w:val="24"/>
                <w:szCs w:val="24"/>
              </w:rPr>
              <w:t>对于没有成功选择导师的学生</w:t>
            </w:r>
            <w:r w:rsidR="008D5368">
              <w:rPr>
                <w:rFonts w:ascii="Times New Roman" w:eastAsia="宋体" w:hAnsi="Times New Roman" w:cs="宋体" w:hint="eastAsia"/>
                <w:color w:val="000000"/>
                <w:kern w:val="0"/>
                <w:sz w:val="24"/>
                <w:szCs w:val="24"/>
              </w:rPr>
              <w:t>，</w:t>
            </w:r>
            <w:r w:rsidR="008D5368" w:rsidRPr="004668F3">
              <w:rPr>
                <w:rFonts w:ascii="Times New Roman" w:eastAsia="宋体" w:hAnsi="Times New Roman" w:cs="宋体" w:hint="eastAsia"/>
                <w:kern w:val="0"/>
                <w:sz w:val="24"/>
                <w:szCs w:val="24"/>
              </w:rPr>
              <w:t>学院</w:t>
            </w:r>
            <w:r w:rsidRPr="004668F3">
              <w:rPr>
                <w:rFonts w:ascii="Times New Roman" w:eastAsia="宋体" w:hAnsi="Times New Roman" w:cs="宋体" w:hint="eastAsia"/>
                <w:kern w:val="0"/>
                <w:sz w:val="24"/>
                <w:szCs w:val="24"/>
              </w:rPr>
              <w:t>在充分考虑研究生意愿的前提下，征求导师意见后，确定研究生</w:t>
            </w:r>
            <w:r w:rsidR="008D5368" w:rsidRPr="004668F3">
              <w:rPr>
                <w:rFonts w:ascii="Times New Roman" w:eastAsia="宋体" w:hAnsi="Times New Roman" w:cs="宋体" w:hint="eastAsia"/>
                <w:kern w:val="0"/>
                <w:sz w:val="24"/>
                <w:szCs w:val="24"/>
              </w:rPr>
              <w:t>和</w:t>
            </w:r>
            <w:r w:rsidR="00F93F69" w:rsidRPr="004668F3">
              <w:rPr>
                <w:rFonts w:ascii="Times New Roman" w:eastAsia="宋体" w:hAnsi="Times New Roman" w:cs="宋体" w:hint="eastAsia"/>
                <w:kern w:val="0"/>
                <w:sz w:val="24"/>
                <w:szCs w:val="24"/>
              </w:rPr>
              <w:t>相应的指导教师</w:t>
            </w:r>
            <w:r w:rsidRPr="004668F3">
              <w:rPr>
                <w:rFonts w:ascii="Times New Roman" w:eastAsia="宋体" w:hAnsi="Times New Roman" w:cs="宋体" w:hint="eastAsia"/>
                <w:kern w:val="0"/>
                <w:sz w:val="24"/>
                <w:szCs w:val="24"/>
              </w:rPr>
              <w:t>。</w:t>
            </w:r>
          </w:p>
          <w:p w:rsidR="009B7665" w:rsidRDefault="009B7665" w:rsidP="00AB659D">
            <w:pPr>
              <w:widowControl/>
              <w:spacing w:line="440" w:lineRule="exact"/>
              <w:ind w:firstLineChars="200" w:firstLine="561"/>
              <w:jc w:val="left"/>
              <w:rPr>
                <w:rFonts w:ascii="Times New Roman" w:eastAsia="宋体" w:hAnsi="Times New Roman" w:cs="宋体"/>
                <w:color w:val="000000"/>
                <w:kern w:val="0"/>
                <w:sz w:val="24"/>
                <w:szCs w:val="24"/>
              </w:rPr>
            </w:pPr>
            <w:r w:rsidRPr="00AC0774">
              <w:rPr>
                <w:rFonts w:ascii="华文楷体" w:eastAsia="华文楷体" w:hAnsi="华文楷体" w:cs="宋体" w:hint="eastAsia"/>
                <w:b/>
                <w:color w:val="000000"/>
                <w:kern w:val="0"/>
                <w:sz w:val="28"/>
                <w:szCs w:val="28"/>
              </w:rPr>
              <w:t>第</w:t>
            </w:r>
            <w:r w:rsidR="004668F3">
              <w:rPr>
                <w:rFonts w:ascii="华文楷体" w:eastAsia="华文楷体" w:hAnsi="华文楷体" w:cs="宋体" w:hint="eastAsia"/>
                <w:b/>
                <w:color w:val="000000"/>
                <w:kern w:val="0"/>
                <w:sz w:val="28"/>
                <w:szCs w:val="28"/>
              </w:rPr>
              <w:t>七</w:t>
            </w:r>
            <w:r w:rsidRPr="00AC0774">
              <w:rPr>
                <w:rFonts w:ascii="华文楷体" w:eastAsia="华文楷体" w:hAnsi="华文楷体" w:cs="宋体" w:hint="eastAsia"/>
                <w:b/>
                <w:color w:val="000000"/>
                <w:kern w:val="0"/>
                <w:sz w:val="28"/>
                <w:szCs w:val="28"/>
              </w:rPr>
              <w:t>条</w:t>
            </w:r>
            <w:r w:rsidRPr="00AC0774">
              <w:rPr>
                <w:rFonts w:ascii="华文楷体" w:eastAsia="华文楷体" w:hAnsi="华文楷体" w:cs="宋体"/>
                <w:b/>
                <w:color w:val="000000"/>
                <w:kern w:val="0"/>
                <w:sz w:val="28"/>
                <w:szCs w:val="28"/>
              </w:rPr>
              <w:t xml:space="preserve">  </w:t>
            </w:r>
            <w:r w:rsidRPr="003836C4">
              <w:rPr>
                <w:rFonts w:ascii="Times New Roman" w:eastAsia="宋体" w:hAnsi="Times New Roman" w:cs="宋体" w:hint="eastAsia"/>
                <w:color w:val="000000"/>
                <w:kern w:val="0"/>
                <w:sz w:val="24"/>
                <w:szCs w:val="24"/>
              </w:rPr>
              <w:t>导师一经确定，任何导师和研究生都不得提出更换。若确属特殊情况，必须研究生申请，经更换前、后导师签字认可后，院分管领导批准后方可调换。</w:t>
            </w:r>
          </w:p>
          <w:p w:rsidR="004668F3" w:rsidRDefault="00CD31F7" w:rsidP="00AB659D">
            <w:pPr>
              <w:widowControl/>
              <w:spacing w:line="440" w:lineRule="exact"/>
              <w:ind w:firstLineChars="200" w:firstLine="561"/>
              <w:jc w:val="left"/>
              <w:rPr>
                <w:rFonts w:ascii="Times New Roman" w:eastAsia="宋体" w:hAnsi="Times New Roman" w:cs="宋体"/>
                <w:color w:val="000000"/>
                <w:kern w:val="0"/>
                <w:sz w:val="24"/>
                <w:szCs w:val="24"/>
              </w:rPr>
            </w:pPr>
            <w:r w:rsidRPr="00AC0774">
              <w:rPr>
                <w:rFonts w:ascii="华文楷体" w:eastAsia="华文楷体" w:hAnsi="华文楷体" w:cs="宋体" w:hint="eastAsia"/>
                <w:b/>
                <w:color w:val="000000"/>
                <w:kern w:val="0"/>
                <w:sz w:val="28"/>
                <w:szCs w:val="28"/>
              </w:rPr>
              <w:t>第</w:t>
            </w:r>
            <w:r w:rsidR="004668F3">
              <w:rPr>
                <w:rFonts w:ascii="华文楷体" w:eastAsia="华文楷体" w:hAnsi="华文楷体" w:cs="宋体" w:hint="eastAsia"/>
                <w:b/>
                <w:color w:val="000000"/>
                <w:kern w:val="0"/>
                <w:sz w:val="28"/>
                <w:szCs w:val="28"/>
              </w:rPr>
              <w:t>八</w:t>
            </w:r>
            <w:r w:rsidRPr="00AC0774">
              <w:rPr>
                <w:rFonts w:ascii="华文楷体" w:eastAsia="华文楷体" w:hAnsi="华文楷体" w:cs="宋体" w:hint="eastAsia"/>
                <w:b/>
                <w:color w:val="000000"/>
                <w:kern w:val="0"/>
                <w:sz w:val="28"/>
                <w:szCs w:val="28"/>
              </w:rPr>
              <w:t>条</w:t>
            </w:r>
            <w:r w:rsidRPr="00AC0774">
              <w:rPr>
                <w:rFonts w:ascii="华文楷体" w:eastAsia="华文楷体" w:hAnsi="华文楷体" w:cs="宋体"/>
                <w:b/>
                <w:color w:val="000000"/>
                <w:kern w:val="0"/>
                <w:sz w:val="28"/>
                <w:szCs w:val="28"/>
              </w:rPr>
              <w:t xml:space="preserve">  </w:t>
            </w:r>
            <w:r>
              <w:rPr>
                <w:rFonts w:ascii="Times New Roman" w:eastAsia="宋体" w:hAnsi="Times New Roman" w:cs="宋体" w:hint="eastAsia"/>
                <w:color w:val="000000"/>
                <w:kern w:val="0"/>
                <w:sz w:val="24"/>
                <w:szCs w:val="24"/>
              </w:rPr>
              <w:t>学院鼓励导师积极主动参与学院优秀硕士生源联系工作，在双向选择的基础上学院实行</w:t>
            </w:r>
            <w:r w:rsidRPr="00802822">
              <w:rPr>
                <w:rFonts w:ascii="Times New Roman" w:eastAsia="宋体" w:hAnsi="Times New Roman" w:cs="宋体" w:hint="eastAsia"/>
                <w:color w:val="000000" w:themeColor="text1"/>
                <w:kern w:val="0"/>
                <w:sz w:val="24"/>
                <w:szCs w:val="24"/>
              </w:rPr>
              <w:t>谁联系谁指导</w:t>
            </w:r>
            <w:r>
              <w:rPr>
                <w:rFonts w:ascii="Times New Roman" w:eastAsia="宋体" w:hAnsi="Times New Roman" w:cs="宋体" w:hint="eastAsia"/>
                <w:color w:val="000000"/>
                <w:kern w:val="0"/>
                <w:sz w:val="24"/>
                <w:szCs w:val="24"/>
              </w:rPr>
              <w:t>的办法</w:t>
            </w:r>
            <w:r w:rsidRPr="003836C4">
              <w:rPr>
                <w:rFonts w:ascii="Times New Roman" w:eastAsia="宋体" w:hAnsi="Times New Roman" w:cs="宋体" w:hint="eastAsia"/>
                <w:color w:val="000000"/>
                <w:kern w:val="0"/>
                <w:sz w:val="24"/>
                <w:szCs w:val="24"/>
              </w:rPr>
              <w:t>。</w:t>
            </w:r>
          </w:p>
          <w:p w:rsidR="00CD31F7" w:rsidRPr="00E13477" w:rsidRDefault="009B7665" w:rsidP="004668F3">
            <w:pPr>
              <w:widowControl/>
              <w:spacing w:line="440" w:lineRule="exact"/>
              <w:ind w:firstLineChars="200" w:firstLine="561"/>
              <w:jc w:val="left"/>
              <w:rPr>
                <w:rFonts w:ascii="Times New Roman" w:eastAsia="宋体" w:hAnsi="Times New Roman" w:cs="宋体"/>
                <w:color w:val="000000"/>
                <w:kern w:val="0"/>
                <w:sz w:val="24"/>
                <w:szCs w:val="24"/>
              </w:rPr>
            </w:pPr>
            <w:r w:rsidRPr="00AC0774">
              <w:rPr>
                <w:rFonts w:ascii="华文楷体" w:eastAsia="华文楷体" w:hAnsi="华文楷体" w:cs="宋体" w:hint="eastAsia"/>
                <w:b/>
                <w:color w:val="000000"/>
                <w:kern w:val="0"/>
                <w:sz w:val="28"/>
                <w:szCs w:val="28"/>
              </w:rPr>
              <w:t>第</w:t>
            </w:r>
            <w:r w:rsidR="004668F3">
              <w:rPr>
                <w:rFonts w:ascii="华文楷体" w:eastAsia="华文楷体" w:hAnsi="华文楷体" w:cs="宋体" w:hint="eastAsia"/>
                <w:b/>
                <w:color w:val="000000"/>
                <w:kern w:val="0"/>
                <w:sz w:val="28"/>
                <w:szCs w:val="28"/>
              </w:rPr>
              <w:t>九</w:t>
            </w:r>
            <w:r w:rsidRPr="00AC0774">
              <w:rPr>
                <w:rFonts w:ascii="华文楷体" w:eastAsia="华文楷体" w:hAnsi="华文楷体" w:cs="宋体" w:hint="eastAsia"/>
                <w:b/>
                <w:color w:val="000000"/>
                <w:kern w:val="0"/>
                <w:sz w:val="28"/>
                <w:szCs w:val="28"/>
              </w:rPr>
              <w:t>条</w:t>
            </w:r>
            <w:r w:rsidRPr="00AC0774">
              <w:rPr>
                <w:rFonts w:ascii="华文楷体" w:eastAsia="华文楷体" w:hAnsi="华文楷体" w:cs="宋体"/>
                <w:b/>
                <w:color w:val="000000"/>
                <w:kern w:val="0"/>
                <w:sz w:val="28"/>
                <w:szCs w:val="28"/>
              </w:rPr>
              <w:t xml:space="preserve">  </w:t>
            </w:r>
            <w:r w:rsidR="00CD31F7" w:rsidRPr="00CD31F7">
              <w:rPr>
                <w:rFonts w:ascii="Times New Roman" w:eastAsia="宋体" w:hAnsi="Times New Roman" w:cs="宋体"/>
                <w:color w:val="000000"/>
                <w:kern w:val="0"/>
                <w:sz w:val="24"/>
                <w:szCs w:val="24"/>
              </w:rPr>
              <w:t>原则上一位导师</w:t>
            </w:r>
            <w:r w:rsidR="00CD31F7" w:rsidRPr="00CD31F7">
              <w:rPr>
                <w:rFonts w:ascii="Times New Roman" w:eastAsia="宋体" w:hAnsi="Times New Roman" w:cs="宋体" w:hint="eastAsia"/>
                <w:color w:val="000000"/>
                <w:kern w:val="0"/>
                <w:sz w:val="24"/>
                <w:szCs w:val="24"/>
              </w:rPr>
              <w:t>每</w:t>
            </w:r>
            <w:r w:rsidR="00360498">
              <w:rPr>
                <w:rFonts w:ascii="Times New Roman" w:eastAsia="宋体" w:hAnsi="Times New Roman" w:cs="宋体"/>
                <w:color w:val="000000"/>
                <w:kern w:val="0"/>
                <w:sz w:val="24"/>
                <w:szCs w:val="24"/>
              </w:rPr>
              <w:t>届</w:t>
            </w:r>
            <w:r w:rsidR="00360498">
              <w:rPr>
                <w:rFonts w:ascii="Times New Roman" w:eastAsia="宋体" w:hAnsi="Times New Roman" w:cs="宋体" w:hint="eastAsia"/>
                <w:color w:val="000000"/>
                <w:kern w:val="0"/>
                <w:sz w:val="24"/>
                <w:szCs w:val="24"/>
              </w:rPr>
              <w:t>招生人数控制在</w:t>
            </w:r>
            <w:r w:rsidR="00360498" w:rsidRPr="00802822">
              <w:rPr>
                <w:rFonts w:ascii="Times New Roman" w:eastAsia="宋体" w:hAnsi="Times New Roman" w:cs="宋体" w:hint="eastAsia"/>
                <w:b/>
                <w:color w:val="000000" w:themeColor="text1"/>
                <w:kern w:val="0"/>
                <w:sz w:val="24"/>
                <w:szCs w:val="24"/>
              </w:rPr>
              <w:t>2-</w:t>
            </w:r>
            <w:r w:rsidR="00C1307A" w:rsidRPr="00802822">
              <w:rPr>
                <w:rFonts w:ascii="Times New Roman" w:eastAsia="宋体" w:hAnsi="Times New Roman" w:cs="宋体" w:hint="eastAsia"/>
                <w:b/>
                <w:color w:val="000000" w:themeColor="text1"/>
                <w:kern w:val="0"/>
                <w:sz w:val="24"/>
                <w:szCs w:val="24"/>
              </w:rPr>
              <w:t>3</w:t>
            </w:r>
            <w:r w:rsidR="00360498">
              <w:rPr>
                <w:rFonts w:ascii="Times New Roman" w:eastAsia="宋体" w:hAnsi="Times New Roman" w:cs="宋体" w:hint="eastAsia"/>
                <w:color w:val="000000"/>
                <w:kern w:val="0"/>
                <w:sz w:val="24"/>
                <w:szCs w:val="24"/>
              </w:rPr>
              <w:t>人</w:t>
            </w:r>
            <w:r w:rsidR="001703B6" w:rsidRPr="00802822">
              <w:rPr>
                <w:rFonts w:ascii="Times New Roman" w:eastAsia="宋体" w:hAnsi="Times New Roman" w:cs="宋体" w:hint="eastAsia"/>
                <w:color w:val="000000"/>
                <w:kern w:val="0"/>
                <w:sz w:val="24"/>
                <w:szCs w:val="24"/>
              </w:rPr>
              <w:t>，但不能低于两人</w:t>
            </w:r>
            <w:r w:rsidRPr="00802822">
              <w:rPr>
                <w:rFonts w:ascii="Times New Roman" w:eastAsia="宋体" w:hAnsi="Times New Roman" w:cs="宋体" w:hint="eastAsia"/>
                <w:color w:val="000000"/>
                <w:kern w:val="0"/>
                <w:sz w:val="24"/>
                <w:szCs w:val="24"/>
              </w:rPr>
              <w:t>。</w:t>
            </w:r>
            <w:r w:rsidR="00802822">
              <w:rPr>
                <w:rFonts w:ascii="Times New Roman" w:eastAsia="宋体" w:hAnsi="Times New Roman" w:cs="宋体" w:hint="eastAsia"/>
                <w:color w:val="000000"/>
                <w:kern w:val="0"/>
                <w:sz w:val="24"/>
                <w:szCs w:val="24"/>
              </w:rPr>
              <w:lastRenderedPageBreak/>
              <w:t>特殊情况和</w:t>
            </w:r>
            <w:r w:rsidR="00EA5AC6">
              <w:rPr>
                <w:rFonts w:ascii="Times New Roman" w:eastAsia="宋体" w:hAnsi="Times New Roman" w:cs="宋体" w:hint="eastAsia"/>
                <w:color w:val="000000"/>
                <w:kern w:val="0"/>
                <w:sz w:val="24"/>
                <w:szCs w:val="24"/>
              </w:rPr>
              <w:t>特殊专业</w:t>
            </w:r>
            <w:r w:rsidR="00F93F69" w:rsidRPr="004668F3">
              <w:rPr>
                <w:rFonts w:ascii="Times New Roman" w:eastAsia="宋体" w:hAnsi="Times New Roman" w:cs="宋体" w:hint="eastAsia"/>
                <w:kern w:val="0"/>
                <w:sz w:val="24"/>
                <w:szCs w:val="24"/>
              </w:rPr>
              <w:t>由</w:t>
            </w:r>
            <w:r w:rsidR="00EA5AC6">
              <w:rPr>
                <w:rFonts w:ascii="Times New Roman" w:eastAsia="宋体" w:hAnsi="Times New Roman" w:cs="宋体" w:hint="eastAsia"/>
                <w:color w:val="000000"/>
                <w:kern w:val="0"/>
                <w:sz w:val="24"/>
                <w:szCs w:val="24"/>
              </w:rPr>
              <w:t>学院协调</w:t>
            </w:r>
            <w:r w:rsidR="00802822">
              <w:rPr>
                <w:rFonts w:ascii="Times New Roman" w:eastAsia="宋体" w:hAnsi="Times New Roman" w:cs="宋体" w:hint="eastAsia"/>
                <w:color w:val="000000"/>
                <w:kern w:val="0"/>
                <w:sz w:val="24"/>
                <w:szCs w:val="24"/>
              </w:rPr>
              <w:t>解决。</w:t>
            </w:r>
          </w:p>
          <w:p w:rsidR="00802822" w:rsidRDefault="00E13477" w:rsidP="00AB659D">
            <w:pPr>
              <w:widowControl/>
              <w:spacing w:line="440" w:lineRule="exact"/>
              <w:ind w:firstLineChars="200" w:firstLine="561"/>
              <w:jc w:val="left"/>
              <w:rPr>
                <w:rFonts w:ascii="Times New Roman" w:eastAsia="宋体" w:hAnsi="Times New Roman" w:cs="宋体"/>
                <w:color w:val="000000"/>
                <w:kern w:val="0"/>
                <w:sz w:val="24"/>
                <w:szCs w:val="24"/>
              </w:rPr>
            </w:pPr>
            <w:r w:rsidRPr="00AC0774">
              <w:rPr>
                <w:rFonts w:ascii="华文楷体" w:eastAsia="华文楷体" w:hAnsi="华文楷体" w:cs="宋体" w:hint="eastAsia"/>
                <w:b/>
                <w:color w:val="000000"/>
                <w:kern w:val="0"/>
                <w:sz w:val="28"/>
                <w:szCs w:val="28"/>
              </w:rPr>
              <w:t xml:space="preserve">第十条  </w:t>
            </w:r>
            <w:r>
              <w:rPr>
                <w:rFonts w:ascii="Times New Roman" w:eastAsia="宋体" w:hAnsi="Times New Roman" w:cs="宋体" w:hint="eastAsia"/>
                <w:color w:val="000000"/>
                <w:kern w:val="0"/>
                <w:sz w:val="24"/>
                <w:szCs w:val="24"/>
              </w:rPr>
              <w:t>当年没有招生的导师</w:t>
            </w:r>
            <w:r w:rsidR="001703B6">
              <w:rPr>
                <w:rFonts w:ascii="Times New Roman" w:eastAsia="宋体" w:hAnsi="Times New Roman" w:cs="宋体" w:hint="eastAsia"/>
                <w:color w:val="000000"/>
                <w:kern w:val="0"/>
                <w:sz w:val="24"/>
                <w:szCs w:val="24"/>
              </w:rPr>
              <w:t>，</w:t>
            </w:r>
            <w:r w:rsidR="000E064C">
              <w:rPr>
                <w:rFonts w:ascii="Times New Roman" w:eastAsia="宋体" w:hAnsi="Times New Roman" w:cs="宋体" w:hint="eastAsia"/>
                <w:color w:val="FF0000"/>
                <w:kern w:val="0"/>
                <w:sz w:val="24"/>
                <w:szCs w:val="24"/>
              </w:rPr>
              <w:t xml:space="preserve"> </w:t>
            </w:r>
            <w:r>
              <w:rPr>
                <w:rFonts w:ascii="Times New Roman" w:eastAsia="宋体" w:hAnsi="Times New Roman" w:cs="宋体" w:hint="eastAsia"/>
                <w:color w:val="000000"/>
                <w:kern w:val="0"/>
                <w:sz w:val="24"/>
                <w:szCs w:val="24"/>
              </w:rPr>
              <w:t>学院鼓励</w:t>
            </w:r>
            <w:r w:rsidR="00AC0774">
              <w:rPr>
                <w:rFonts w:ascii="Times New Roman" w:eastAsia="宋体" w:hAnsi="Times New Roman" w:cs="宋体" w:hint="eastAsia"/>
                <w:color w:val="000000"/>
                <w:kern w:val="0"/>
                <w:sz w:val="24"/>
                <w:szCs w:val="24"/>
              </w:rPr>
              <w:t>其</w:t>
            </w:r>
            <w:r>
              <w:rPr>
                <w:rFonts w:ascii="Times New Roman" w:eastAsia="宋体" w:hAnsi="Times New Roman" w:cs="宋体" w:hint="eastAsia"/>
                <w:color w:val="000000"/>
                <w:kern w:val="0"/>
                <w:sz w:val="24"/>
                <w:szCs w:val="24"/>
              </w:rPr>
              <w:t>参与相关导师组学生的培养，</w:t>
            </w:r>
            <w:r w:rsidR="00802822">
              <w:rPr>
                <w:rFonts w:ascii="Times New Roman" w:eastAsia="宋体" w:hAnsi="Times New Roman" w:cs="宋体" w:hint="eastAsia"/>
                <w:color w:val="000000"/>
                <w:kern w:val="0"/>
                <w:sz w:val="24"/>
                <w:szCs w:val="24"/>
              </w:rPr>
              <w:t>可根据情况指导相关导师组内的</w:t>
            </w:r>
            <w:r>
              <w:rPr>
                <w:rFonts w:ascii="Times New Roman" w:eastAsia="宋体" w:hAnsi="Times New Roman" w:cs="宋体" w:hint="eastAsia"/>
                <w:color w:val="000000"/>
                <w:kern w:val="0"/>
                <w:sz w:val="24"/>
                <w:szCs w:val="24"/>
              </w:rPr>
              <w:t>硕士学位论文等工作。</w:t>
            </w:r>
          </w:p>
          <w:p w:rsidR="009B7665" w:rsidRPr="003836C4" w:rsidRDefault="009B7665" w:rsidP="00802822">
            <w:pPr>
              <w:widowControl/>
              <w:spacing w:line="440" w:lineRule="exact"/>
              <w:ind w:firstLineChars="200" w:firstLine="561"/>
              <w:jc w:val="left"/>
              <w:rPr>
                <w:rFonts w:ascii="宋体" w:eastAsia="宋体" w:hAnsi="宋体" w:cs="宋体"/>
                <w:color w:val="000000"/>
                <w:kern w:val="0"/>
                <w:sz w:val="23"/>
                <w:szCs w:val="23"/>
              </w:rPr>
            </w:pPr>
            <w:r w:rsidRPr="00AC0774">
              <w:rPr>
                <w:rFonts w:ascii="华文楷体" w:eastAsia="华文楷体" w:hAnsi="华文楷体" w:cs="宋体" w:hint="eastAsia"/>
                <w:b/>
                <w:color w:val="000000"/>
                <w:kern w:val="0"/>
                <w:sz w:val="28"/>
                <w:szCs w:val="28"/>
              </w:rPr>
              <w:t>第十</w:t>
            </w:r>
            <w:r w:rsidR="004668F3">
              <w:rPr>
                <w:rFonts w:ascii="华文楷体" w:eastAsia="华文楷体" w:hAnsi="华文楷体" w:cs="宋体" w:hint="eastAsia"/>
                <w:b/>
                <w:color w:val="000000"/>
                <w:kern w:val="0"/>
                <w:sz w:val="28"/>
                <w:szCs w:val="28"/>
              </w:rPr>
              <w:t>一</w:t>
            </w:r>
            <w:r w:rsidRPr="00AC0774">
              <w:rPr>
                <w:rFonts w:ascii="华文楷体" w:eastAsia="华文楷体" w:hAnsi="华文楷体" w:cs="宋体" w:hint="eastAsia"/>
                <w:b/>
                <w:color w:val="000000"/>
                <w:kern w:val="0"/>
                <w:sz w:val="28"/>
                <w:szCs w:val="28"/>
              </w:rPr>
              <w:t>条</w:t>
            </w:r>
            <w:r w:rsidRPr="00AC0774">
              <w:rPr>
                <w:rFonts w:ascii="华文楷体" w:eastAsia="华文楷体" w:hAnsi="华文楷体" w:cs="宋体"/>
                <w:b/>
                <w:color w:val="000000"/>
                <w:kern w:val="0"/>
                <w:sz w:val="28"/>
                <w:szCs w:val="28"/>
              </w:rPr>
              <w:t xml:space="preserve">  </w:t>
            </w:r>
            <w:r w:rsidRPr="003836C4">
              <w:rPr>
                <w:rFonts w:ascii="Times New Roman" w:eastAsia="宋体" w:hAnsi="Times New Roman" w:cs="宋体" w:hint="eastAsia"/>
                <w:color w:val="000000"/>
                <w:kern w:val="0"/>
                <w:sz w:val="24"/>
                <w:szCs w:val="24"/>
              </w:rPr>
              <w:t>本办法所涉条款与</w:t>
            </w:r>
            <w:r w:rsidR="009E6BDA">
              <w:rPr>
                <w:rFonts w:ascii="Times New Roman" w:eastAsia="宋体" w:hAnsi="Times New Roman" w:cs="宋体" w:hint="eastAsia"/>
                <w:color w:val="000000"/>
                <w:kern w:val="0"/>
                <w:sz w:val="24"/>
                <w:szCs w:val="24"/>
              </w:rPr>
              <w:t>学校</w:t>
            </w:r>
            <w:r w:rsidRPr="003836C4">
              <w:rPr>
                <w:rFonts w:ascii="Times New Roman" w:eastAsia="宋体" w:hAnsi="Times New Roman" w:cs="宋体" w:hint="eastAsia"/>
                <w:color w:val="000000"/>
                <w:kern w:val="0"/>
                <w:sz w:val="24"/>
                <w:szCs w:val="24"/>
              </w:rPr>
              <w:t>上级部门精神冲突处，以上级精神为准。</w:t>
            </w:r>
          </w:p>
          <w:p w:rsidR="009B7665" w:rsidRDefault="009B7665" w:rsidP="00C1307A">
            <w:pPr>
              <w:widowControl/>
              <w:spacing w:line="440" w:lineRule="exact"/>
              <w:ind w:firstLineChars="200" w:firstLine="561"/>
              <w:jc w:val="left"/>
              <w:rPr>
                <w:rFonts w:ascii="Times New Roman" w:eastAsia="宋体" w:hAnsi="Times New Roman" w:cs="宋体"/>
                <w:color w:val="000000"/>
                <w:kern w:val="0"/>
                <w:sz w:val="24"/>
                <w:szCs w:val="24"/>
              </w:rPr>
            </w:pPr>
            <w:r w:rsidRPr="00AC0774">
              <w:rPr>
                <w:rFonts w:ascii="华文楷体" w:eastAsia="华文楷体" w:hAnsi="华文楷体" w:cs="宋体" w:hint="eastAsia"/>
                <w:b/>
                <w:color w:val="000000"/>
                <w:kern w:val="0"/>
                <w:sz w:val="28"/>
                <w:szCs w:val="28"/>
              </w:rPr>
              <w:t>第十</w:t>
            </w:r>
            <w:r w:rsidR="004668F3">
              <w:rPr>
                <w:rFonts w:ascii="华文楷体" w:eastAsia="华文楷体" w:hAnsi="华文楷体" w:cs="宋体" w:hint="eastAsia"/>
                <w:b/>
                <w:color w:val="000000"/>
                <w:kern w:val="0"/>
                <w:sz w:val="28"/>
                <w:szCs w:val="28"/>
              </w:rPr>
              <w:t>二</w:t>
            </w:r>
            <w:r w:rsidRPr="00AC0774">
              <w:rPr>
                <w:rFonts w:ascii="华文楷体" w:eastAsia="华文楷体" w:hAnsi="华文楷体" w:cs="宋体" w:hint="eastAsia"/>
                <w:b/>
                <w:color w:val="000000"/>
                <w:kern w:val="0"/>
                <w:sz w:val="28"/>
                <w:szCs w:val="28"/>
              </w:rPr>
              <w:t>条</w:t>
            </w:r>
            <w:r w:rsidRPr="00AC0774">
              <w:rPr>
                <w:rFonts w:ascii="华文楷体" w:eastAsia="华文楷体" w:hAnsi="华文楷体" w:cs="宋体"/>
                <w:b/>
                <w:color w:val="000000"/>
                <w:kern w:val="0"/>
                <w:sz w:val="28"/>
                <w:szCs w:val="28"/>
              </w:rPr>
              <w:t xml:space="preserve">  </w:t>
            </w:r>
            <w:r w:rsidRPr="003836C4">
              <w:rPr>
                <w:rFonts w:ascii="Times New Roman" w:eastAsia="宋体" w:hAnsi="Times New Roman" w:cs="宋体" w:hint="eastAsia"/>
                <w:color w:val="000000"/>
                <w:kern w:val="0"/>
                <w:sz w:val="24"/>
                <w:szCs w:val="24"/>
              </w:rPr>
              <w:t>本办法自公布之日起实行。</w:t>
            </w:r>
          </w:p>
          <w:p w:rsidR="00EA5AC6" w:rsidRDefault="00EA5AC6" w:rsidP="00EA5AC6">
            <w:pPr>
              <w:widowControl/>
              <w:spacing w:line="440" w:lineRule="exact"/>
              <w:ind w:firstLineChars="200" w:firstLine="480"/>
              <w:jc w:val="left"/>
              <w:rPr>
                <w:rFonts w:ascii="Times New Roman" w:eastAsia="宋体" w:hAnsi="Times New Roman" w:cs="宋体"/>
                <w:color w:val="000000"/>
                <w:kern w:val="0"/>
                <w:sz w:val="24"/>
                <w:szCs w:val="24"/>
              </w:rPr>
            </w:pPr>
          </w:p>
          <w:p w:rsidR="00EA5AC6" w:rsidRDefault="00EA5AC6" w:rsidP="00EA5AC6">
            <w:pPr>
              <w:widowControl/>
              <w:spacing w:line="440" w:lineRule="exact"/>
              <w:ind w:firstLineChars="200" w:firstLine="480"/>
              <w:jc w:val="left"/>
              <w:rPr>
                <w:rFonts w:ascii="Times New Roman" w:eastAsia="宋体" w:hAnsi="Times New Roman" w:cs="宋体"/>
                <w:color w:val="000000"/>
                <w:kern w:val="0"/>
                <w:sz w:val="24"/>
                <w:szCs w:val="24"/>
              </w:rPr>
            </w:pPr>
            <w:r>
              <w:rPr>
                <w:rFonts w:ascii="Times New Roman" w:eastAsia="宋体" w:hAnsi="Times New Roman" w:cs="宋体" w:hint="eastAsia"/>
                <w:color w:val="000000"/>
                <w:kern w:val="0"/>
                <w:sz w:val="24"/>
                <w:szCs w:val="24"/>
              </w:rPr>
              <w:t xml:space="preserve">                                 </w:t>
            </w:r>
            <w:r>
              <w:rPr>
                <w:rFonts w:ascii="Times New Roman" w:eastAsia="宋体" w:hAnsi="Times New Roman" w:cs="宋体" w:hint="eastAsia"/>
                <w:color w:val="000000"/>
                <w:kern w:val="0"/>
                <w:sz w:val="24"/>
                <w:szCs w:val="24"/>
              </w:rPr>
              <w:t>数学与信息科学学院学术委员会</w:t>
            </w:r>
          </w:p>
          <w:p w:rsidR="00EA5AC6" w:rsidRPr="003836C4" w:rsidRDefault="00EA5AC6" w:rsidP="00EA5AC6">
            <w:pPr>
              <w:widowControl/>
              <w:spacing w:line="440" w:lineRule="exact"/>
              <w:ind w:firstLineChars="200" w:firstLine="480"/>
              <w:jc w:val="left"/>
              <w:rPr>
                <w:rFonts w:ascii="宋体" w:eastAsia="宋体" w:hAnsi="宋体" w:cs="宋体"/>
                <w:color w:val="000000"/>
                <w:kern w:val="0"/>
                <w:sz w:val="23"/>
                <w:szCs w:val="23"/>
              </w:rPr>
            </w:pPr>
            <w:r>
              <w:rPr>
                <w:rFonts w:ascii="Times New Roman" w:eastAsia="宋体" w:hAnsi="Times New Roman" w:cs="宋体" w:hint="eastAsia"/>
                <w:color w:val="000000"/>
                <w:kern w:val="0"/>
                <w:sz w:val="24"/>
                <w:szCs w:val="24"/>
              </w:rPr>
              <w:t xml:space="preserve">                                 2014</w:t>
            </w:r>
            <w:r>
              <w:rPr>
                <w:rFonts w:ascii="Times New Roman" w:eastAsia="宋体" w:hAnsi="Times New Roman" w:cs="宋体" w:hint="eastAsia"/>
                <w:color w:val="000000"/>
                <w:kern w:val="0"/>
                <w:sz w:val="24"/>
                <w:szCs w:val="24"/>
              </w:rPr>
              <w:t>年</w:t>
            </w:r>
            <w:r>
              <w:rPr>
                <w:rFonts w:ascii="Times New Roman" w:eastAsia="宋体" w:hAnsi="Times New Roman" w:cs="宋体" w:hint="eastAsia"/>
                <w:color w:val="000000"/>
                <w:kern w:val="0"/>
                <w:sz w:val="24"/>
                <w:szCs w:val="24"/>
              </w:rPr>
              <w:t>3</w:t>
            </w:r>
            <w:r>
              <w:rPr>
                <w:rFonts w:ascii="Times New Roman" w:eastAsia="宋体" w:hAnsi="Times New Roman" w:cs="宋体" w:hint="eastAsia"/>
                <w:color w:val="000000"/>
                <w:kern w:val="0"/>
                <w:sz w:val="24"/>
                <w:szCs w:val="24"/>
              </w:rPr>
              <w:t>月</w:t>
            </w:r>
            <w:r>
              <w:rPr>
                <w:rFonts w:ascii="Times New Roman" w:eastAsia="宋体" w:hAnsi="Times New Roman" w:cs="宋体" w:hint="eastAsia"/>
                <w:color w:val="000000"/>
                <w:kern w:val="0"/>
                <w:sz w:val="24"/>
                <w:szCs w:val="24"/>
              </w:rPr>
              <w:t>12</w:t>
            </w:r>
            <w:r>
              <w:rPr>
                <w:rFonts w:ascii="Times New Roman" w:eastAsia="宋体" w:hAnsi="Times New Roman" w:cs="宋体" w:hint="eastAsia"/>
                <w:color w:val="000000"/>
                <w:kern w:val="0"/>
                <w:sz w:val="24"/>
                <w:szCs w:val="24"/>
              </w:rPr>
              <w:t>日</w:t>
            </w:r>
          </w:p>
        </w:tc>
      </w:tr>
    </w:tbl>
    <w:p w:rsidR="00AD5316" w:rsidRDefault="00AD5316" w:rsidP="00AB659D">
      <w:pPr>
        <w:spacing w:line="440" w:lineRule="exact"/>
      </w:pPr>
    </w:p>
    <w:sectPr w:rsidR="00AD5316" w:rsidSect="00AD53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6DA" w:rsidRDefault="008D66DA" w:rsidP="00E57B18">
      <w:r>
        <w:separator/>
      </w:r>
    </w:p>
  </w:endnote>
  <w:endnote w:type="continuationSeparator" w:id="1">
    <w:p w:rsidR="008D66DA" w:rsidRDefault="008D66DA" w:rsidP="00E57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6DA" w:rsidRDefault="008D66DA" w:rsidP="00E57B18">
      <w:r>
        <w:separator/>
      </w:r>
    </w:p>
  </w:footnote>
  <w:footnote w:type="continuationSeparator" w:id="1">
    <w:p w:rsidR="008D66DA" w:rsidRDefault="008D66DA" w:rsidP="00E57B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86F58"/>
    <w:multiLevelType w:val="hybridMultilevel"/>
    <w:tmpl w:val="3E826D30"/>
    <w:lvl w:ilvl="0" w:tplc="46FC8372">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DD549B1"/>
    <w:multiLevelType w:val="hybridMultilevel"/>
    <w:tmpl w:val="CE6A442A"/>
    <w:lvl w:ilvl="0" w:tplc="8452E77A">
      <w:start w:val="1"/>
      <w:numFmt w:val="japaneseCounting"/>
      <w:lvlText w:val="第%1条"/>
      <w:lvlJc w:val="left"/>
      <w:pPr>
        <w:ind w:left="2211" w:hanging="1650"/>
      </w:pPr>
      <w:rPr>
        <w:rFonts w:ascii="华文楷体" w:eastAsia="华文楷体" w:hAnsi="华文楷体" w:hint="default"/>
        <w:b/>
        <w:sz w:val="28"/>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7665"/>
    <w:rsid w:val="000059DC"/>
    <w:rsid w:val="00025139"/>
    <w:rsid w:val="00035F9D"/>
    <w:rsid w:val="000906C9"/>
    <w:rsid w:val="000C56BD"/>
    <w:rsid w:val="000E064C"/>
    <w:rsid w:val="00146664"/>
    <w:rsid w:val="001703B6"/>
    <w:rsid w:val="002500A1"/>
    <w:rsid w:val="00282C88"/>
    <w:rsid w:val="002942B0"/>
    <w:rsid w:val="00306B1D"/>
    <w:rsid w:val="00353E08"/>
    <w:rsid w:val="00360498"/>
    <w:rsid w:val="003B5338"/>
    <w:rsid w:val="003E5FC7"/>
    <w:rsid w:val="003F174C"/>
    <w:rsid w:val="00426D75"/>
    <w:rsid w:val="004663D2"/>
    <w:rsid w:val="004668F3"/>
    <w:rsid w:val="00470ADB"/>
    <w:rsid w:val="004A6480"/>
    <w:rsid w:val="005B79A8"/>
    <w:rsid w:val="005D3E3C"/>
    <w:rsid w:val="00626635"/>
    <w:rsid w:val="00680B6F"/>
    <w:rsid w:val="007871AC"/>
    <w:rsid w:val="007B1421"/>
    <w:rsid w:val="007C2587"/>
    <w:rsid w:val="007D1267"/>
    <w:rsid w:val="007E37D5"/>
    <w:rsid w:val="00802822"/>
    <w:rsid w:val="00823B05"/>
    <w:rsid w:val="008D5368"/>
    <w:rsid w:val="008D66DA"/>
    <w:rsid w:val="008F270F"/>
    <w:rsid w:val="008F28BC"/>
    <w:rsid w:val="00907546"/>
    <w:rsid w:val="0093654B"/>
    <w:rsid w:val="00944729"/>
    <w:rsid w:val="0097174E"/>
    <w:rsid w:val="00993EDD"/>
    <w:rsid w:val="009B7665"/>
    <w:rsid w:val="009E6BDA"/>
    <w:rsid w:val="00A40EAC"/>
    <w:rsid w:val="00A40EFF"/>
    <w:rsid w:val="00A90953"/>
    <w:rsid w:val="00A9393C"/>
    <w:rsid w:val="00AB659D"/>
    <w:rsid w:val="00AC0774"/>
    <w:rsid w:val="00AD40C0"/>
    <w:rsid w:val="00AD5316"/>
    <w:rsid w:val="00AE6BAB"/>
    <w:rsid w:val="00B87A24"/>
    <w:rsid w:val="00BA1C64"/>
    <w:rsid w:val="00C1307A"/>
    <w:rsid w:val="00C523BF"/>
    <w:rsid w:val="00C62CB8"/>
    <w:rsid w:val="00C7278F"/>
    <w:rsid w:val="00C97787"/>
    <w:rsid w:val="00CA36F5"/>
    <w:rsid w:val="00CA7C7D"/>
    <w:rsid w:val="00CD31F7"/>
    <w:rsid w:val="00D11394"/>
    <w:rsid w:val="00D42ED2"/>
    <w:rsid w:val="00D85D6D"/>
    <w:rsid w:val="00DB155D"/>
    <w:rsid w:val="00DD38C9"/>
    <w:rsid w:val="00E13477"/>
    <w:rsid w:val="00E3665F"/>
    <w:rsid w:val="00E57B18"/>
    <w:rsid w:val="00EA5AC6"/>
    <w:rsid w:val="00ED1405"/>
    <w:rsid w:val="00EE0B12"/>
    <w:rsid w:val="00F06ACC"/>
    <w:rsid w:val="00F35290"/>
    <w:rsid w:val="00F46521"/>
    <w:rsid w:val="00F93F69"/>
    <w:rsid w:val="00F946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7B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7B18"/>
    <w:rPr>
      <w:sz w:val="18"/>
      <w:szCs w:val="18"/>
    </w:rPr>
  </w:style>
  <w:style w:type="paragraph" w:styleId="a4">
    <w:name w:val="footer"/>
    <w:basedOn w:val="a"/>
    <w:link w:val="Char0"/>
    <w:uiPriority w:val="99"/>
    <w:semiHidden/>
    <w:unhideWhenUsed/>
    <w:rsid w:val="00E57B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7B18"/>
    <w:rPr>
      <w:sz w:val="18"/>
      <w:szCs w:val="18"/>
    </w:rPr>
  </w:style>
  <w:style w:type="paragraph" w:styleId="a5">
    <w:name w:val="List Paragraph"/>
    <w:basedOn w:val="a"/>
    <w:uiPriority w:val="34"/>
    <w:qFormat/>
    <w:rsid w:val="00F3529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User</cp:lastModifiedBy>
  <cp:revision>3</cp:revision>
  <dcterms:created xsi:type="dcterms:W3CDTF">2014-08-31T23:51:00Z</dcterms:created>
  <dcterms:modified xsi:type="dcterms:W3CDTF">2014-08-31T23:55:00Z</dcterms:modified>
</cp:coreProperties>
</file>